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DF4D5" w14:textId="696E3A3B" w:rsidR="0063472F" w:rsidRDefault="0053642E" w:rsidP="0063472F">
      <w:pPr>
        <w:rPr>
          <w:lang w:val="en-US"/>
        </w:rPr>
      </w:pPr>
      <w:r w:rsidRPr="0053642E">
        <w:rPr>
          <w:noProof/>
          <w:lang w:eastAsia="en-GB"/>
        </w:rPr>
        <w:drawing>
          <wp:anchor distT="0" distB="0" distL="114300" distR="114300" simplePos="0" relativeHeight="251667456" behindDoc="0" locked="0" layoutInCell="1" allowOverlap="1" wp14:anchorId="397AA2CE" wp14:editId="0F11F75E">
            <wp:simplePos x="0" y="0"/>
            <wp:positionH relativeFrom="column">
              <wp:posOffset>-291465</wp:posOffset>
            </wp:positionH>
            <wp:positionV relativeFrom="paragraph">
              <wp:posOffset>2540</wp:posOffset>
            </wp:positionV>
            <wp:extent cx="6452235" cy="4838700"/>
            <wp:effectExtent l="0" t="0" r="0"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52235" cy="4838700"/>
                    </a:xfrm>
                    <a:prstGeom prst="rect">
                      <a:avLst/>
                    </a:prstGeom>
                  </pic:spPr>
                </pic:pic>
              </a:graphicData>
            </a:graphic>
            <wp14:sizeRelH relativeFrom="page">
              <wp14:pctWidth>0</wp14:pctWidth>
            </wp14:sizeRelH>
            <wp14:sizeRelV relativeFrom="page">
              <wp14:pctHeight>0</wp14:pctHeight>
            </wp14:sizeRelV>
          </wp:anchor>
        </w:drawing>
      </w:r>
    </w:p>
    <w:p w14:paraId="20164062" w14:textId="77777777" w:rsidR="00620CD6" w:rsidRDefault="00620CD6" w:rsidP="0063472F">
      <w:pPr>
        <w:rPr>
          <w:lang w:val="en-US"/>
        </w:rPr>
      </w:pPr>
    </w:p>
    <w:p w14:paraId="10B0C180" w14:textId="1E601A3B" w:rsidR="0063472F" w:rsidRDefault="0063472F" w:rsidP="0063472F">
      <w:pPr>
        <w:rPr>
          <w:lang w:val="en-US"/>
        </w:rPr>
      </w:pPr>
      <w:r>
        <w:rPr>
          <w:lang w:val="en-US"/>
        </w:rPr>
        <w:t xml:space="preserve">Today I’m going to explain a bit about partner of sex addict, or </w:t>
      </w:r>
      <w:r w:rsidR="00A72636">
        <w:rPr>
          <w:lang w:val="en-US"/>
        </w:rPr>
        <w:t>“</w:t>
      </w:r>
      <w:r>
        <w:rPr>
          <w:lang w:val="en-US"/>
        </w:rPr>
        <w:t>PSA,</w:t>
      </w:r>
      <w:r w:rsidR="00A72636">
        <w:rPr>
          <w:lang w:val="en-US"/>
        </w:rPr>
        <w:t>”</w:t>
      </w:r>
      <w:r>
        <w:rPr>
          <w:lang w:val="en-US"/>
        </w:rPr>
        <w:t xml:space="preserve"> trauma also known as betrayal trauma. For the sake of convenience, I’m going to refer to the PSA as “she” and the sex addict or “SA” as “he.” However, I acknowledge that there is an increasing number of male PSAs seeking professional help and support. </w:t>
      </w:r>
    </w:p>
    <w:p w14:paraId="67FC136E" w14:textId="77777777" w:rsidR="0063472F" w:rsidRDefault="0063472F" w:rsidP="0063472F">
      <w:pPr>
        <w:rPr>
          <w:lang w:val="en-US"/>
        </w:rPr>
      </w:pPr>
    </w:p>
    <w:p w14:paraId="4C824B30" w14:textId="77777777" w:rsidR="0063472F" w:rsidRDefault="0063472F" w:rsidP="0063472F">
      <w:pPr>
        <w:rPr>
          <w:lang w:val="en-US"/>
        </w:rPr>
      </w:pPr>
      <w:r>
        <w:rPr>
          <w:lang w:val="en-US"/>
        </w:rPr>
        <w:t>When the concept of PSA trauma was first introduced in 2007 in a paper by Barbara Steffens and Robyn Rennie, the therapeutic community didn’t all jump on the bandwagon. What do you think might have been their concerns?</w:t>
      </w:r>
    </w:p>
    <w:p w14:paraId="3D8B3D50" w14:textId="77777777" w:rsidR="0063472F" w:rsidRDefault="0063472F">
      <w:pPr>
        <w:spacing w:line="240" w:lineRule="auto"/>
        <w:rPr>
          <w:lang w:val="en-US"/>
        </w:rPr>
      </w:pPr>
      <w:r>
        <w:rPr>
          <w:lang w:val="en-US"/>
        </w:rPr>
        <w:br w:type="page"/>
      </w:r>
    </w:p>
    <w:p w14:paraId="21BC0DD7" w14:textId="77777777" w:rsidR="0063472F" w:rsidRDefault="0063472F" w:rsidP="0063472F">
      <w:pPr>
        <w:rPr>
          <w:lang w:val="en-US"/>
        </w:rPr>
      </w:pPr>
      <w:r w:rsidRPr="0063472F">
        <w:rPr>
          <w:noProof/>
          <w:lang w:eastAsia="en-GB"/>
        </w:rPr>
        <w:lastRenderedPageBreak/>
        <w:drawing>
          <wp:anchor distT="0" distB="0" distL="114300" distR="114300" simplePos="0" relativeHeight="251659264" behindDoc="0" locked="0" layoutInCell="1" allowOverlap="1" wp14:anchorId="35E2894C" wp14:editId="4EB9E886">
            <wp:simplePos x="0" y="0"/>
            <wp:positionH relativeFrom="column">
              <wp:posOffset>-451491</wp:posOffset>
            </wp:positionH>
            <wp:positionV relativeFrom="paragraph">
              <wp:posOffset>56172</wp:posOffset>
            </wp:positionV>
            <wp:extent cx="6656705" cy="49923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56705" cy="4992370"/>
                    </a:xfrm>
                    <a:prstGeom prst="rect">
                      <a:avLst/>
                    </a:prstGeom>
                  </pic:spPr>
                </pic:pic>
              </a:graphicData>
            </a:graphic>
            <wp14:sizeRelH relativeFrom="page">
              <wp14:pctWidth>0</wp14:pctWidth>
            </wp14:sizeRelH>
            <wp14:sizeRelV relativeFrom="page">
              <wp14:pctHeight>0</wp14:pctHeight>
            </wp14:sizeRelV>
          </wp:anchor>
        </w:drawing>
      </w:r>
    </w:p>
    <w:p w14:paraId="466BBA89" w14:textId="77777777" w:rsidR="00620CD6" w:rsidRDefault="00620CD6" w:rsidP="0063472F">
      <w:pPr>
        <w:rPr>
          <w:lang w:val="en-US"/>
        </w:rPr>
      </w:pPr>
    </w:p>
    <w:p w14:paraId="2DDFF3E9" w14:textId="77777777" w:rsidR="0063472F" w:rsidRDefault="0063472F" w:rsidP="00915E89">
      <w:pPr>
        <w:ind w:firstLine="720"/>
        <w:rPr>
          <w:lang w:val="en-US"/>
        </w:rPr>
      </w:pPr>
      <w:r>
        <w:rPr>
          <w:lang w:val="en-US"/>
        </w:rPr>
        <w:t>One of the first concerns was whether the PSA experience could legitimately be said to be traumatic. After all, according to the DSM-IV, which was the version of the DSM in use in 2007, trauma occurred when a person “experienced or witnessed an event involving actual or threatened death or serious injury or threat to physi</w:t>
      </w:r>
      <w:r w:rsidR="00B9585D">
        <w:rPr>
          <w:lang w:val="en-US"/>
        </w:rPr>
        <w:t>cal integrity of self or others</w:t>
      </w:r>
      <w:r>
        <w:rPr>
          <w:lang w:val="en-US"/>
        </w:rPr>
        <w:t>” (American Psychological Association, 2000).</w:t>
      </w:r>
    </w:p>
    <w:p w14:paraId="039CF8D5" w14:textId="77777777" w:rsidR="0063472F" w:rsidRDefault="0063472F" w:rsidP="0063472F">
      <w:pPr>
        <w:rPr>
          <w:lang w:val="en-US"/>
        </w:rPr>
      </w:pPr>
    </w:p>
    <w:p w14:paraId="3802A5EC" w14:textId="77777777" w:rsidR="0063472F" w:rsidRDefault="0063472F" w:rsidP="00915E89">
      <w:pPr>
        <w:ind w:firstLine="720"/>
        <w:rPr>
          <w:lang w:val="en-US"/>
        </w:rPr>
      </w:pPr>
      <w:r>
        <w:rPr>
          <w:lang w:val="en-US"/>
        </w:rPr>
        <w:t xml:space="preserve">Finding out your partner has a sex life you didn’t know about—whether it’s through porn use, prostitutes, affairs or other types of sexual </w:t>
      </w:r>
      <w:proofErr w:type="spellStart"/>
      <w:r>
        <w:rPr>
          <w:lang w:val="en-US"/>
        </w:rPr>
        <w:t>behaviours</w:t>
      </w:r>
      <w:proofErr w:type="spellEnd"/>
      <w:r>
        <w:rPr>
          <w:lang w:val="en-US"/>
        </w:rPr>
        <w:t xml:space="preserve">—doesn’t generally threaten your physical existence. However, even as early as 2000, trauma researchers such as Carlson &amp; </w:t>
      </w:r>
      <w:proofErr w:type="spellStart"/>
      <w:r>
        <w:rPr>
          <w:lang w:val="en-US"/>
        </w:rPr>
        <w:t>Dalenberg</w:t>
      </w:r>
      <w:proofErr w:type="spellEnd"/>
      <w:r>
        <w:rPr>
          <w:lang w:val="en-US"/>
        </w:rPr>
        <w:t xml:space="preserve"> were challenging the DSM-IV definition of trauma, stating it “erroneously excludes some events that are potentially traumatic” (Carlson &amp; </w:t>
      </w:r>
      <w:proofErr w:type="spellStart"/>
      <w:r>
        <w:rPr>
          <w:lang w:val="en-US"/>
        </w:rPr>
        <w:t>Dalenberg</w:t>
      </w:r>
      <w:proofErr w:type="spellEnd"/>
      <w:r>
        <w:rPr>
          <w:lang w:val="en-US"/>
        </w:rPr>
        <w:t xml:space="preserve">, 2000, p. 6). They </w:t>
      </w:r>
      <w:r>
        <w:rPr>
          <w:lang w:val="en-US"/>
        </w:rPr>
        <w:lastRenderedPageBreak/>
        <w:t xml:space="preserve">said that the three elements necessary for an event to be traumatizing are suddenness, lack of controllability and an extremely negative valence (Carlson &amp; </w:t>
      </w:r>
      <w:proofErr w:type="spellStart"/>
      <w:r>
        <w:rPr>
          <w:lang w:val="en-US"/>
        </w:rPr>
        <w:t>Dalenberg</w:t>
      </w:r>
      <w:proofErr w:type="spellEnd"/>
      <w:r>
        <w:rPr>
          <w:lang w:val="en-US"/>
        </w:rPr>
        <w:t>, 2000).</w:t>
      </w:r>
    </w:p>
    <w:p w14:paraId="58A41E75" w14:textId="77777777" w:rsidR="0063472F" w:rsidRDefault="0063472F" w:rsidP="0063472F">
      <w:pPr>
        <w:rPr>
          <w:lang w:val="en-US"/>
        </w:rPr>
      </w:pPr>
    </w:p>
    <w:p w14:paraId="2B315289" w14:textId="77777777" w:rsidR="0063472F" w:rsidRDefault="0063472F" w:rsidP="00915E89">
      <w:pPr>
        <w:ind w:firstLine="720"/>
        <w:rPr>
          <w:lang w:val="en-US"/>
        </w:rPr>
      </w:pPr>
      <w:r>
        <w:rPr>
          <w:lang w:val="en-US"/>
        </w:rPr>
        <w:t>Discovery of a partner’s double sexual life meets these three criteria.</w:t>
      </w:r>
    </w:p>
    <w:p w14:paraId="1E38180E" w14:textId="77777777" w:rsidR="0063472F" w:rsidRDefault="0063472F" w:rsidP="0063472F">
      <w:pPr>
        <w:rPr>
          <w:lang w:val="en-US"/>
        </w:rPr>
      </w:pPr>
    </w:p>
    <w:p w14:paraId="68FF9318" w14:textId="77777777" w:rsidR="0063472F" w:rsidRDefault="0063472F" w:rsidP="00915E89">
      <w:pPr>
        <w:ind w:firstLine="720"/>
        <w:rPr>
          <w:lang w:val="en-US"/>
        </w:rPr>
      </w:pPr>
      <w:r>
        <w:rPr>
          <w:lang w:val="en-US"/>
        </w:rPr>
        <w:t xml:space="preserve">Another reason the therapeutic community </w:t>
      </w:r>
      <w:r w:rsidR="00227E5E">
        <w:rPr>
          <w:lang w:val="en-US"/>
        </w:rPr>
        <w:t xml:space="preserve">didn’t immediately embrace the </w:t>
      </w:r>
      <w:r>
        <w:rPr>
          <w:lang w:val="en-US"/>
        </w:rPr>
        <w:t>trauma model for PSAs was that the “co-dependent model” was already in use. The co-dependent model comes out of the 12-steps, addictions field. This model assumes that all partners and spouses of addicts are enabling the person with the addiction. This is a very addict-centric model and it insisted that the PSA work to support her partner’s addiction recovery process.</w:t>
      </w:r>
    </w:p>
    <w:p w14:paraId="2FBB00E5" w14:textId="77777777" w:rsidR="0063472F" w:rsidRDefault="0063472F" w:rsidP="0063472F">
      <w:pPr>
        <w:rPr>
          <w:lang w:val="en-US"/>
        </w:rPr>
      </w:pPr>
    </w:p>
    <w:p w14:paraId="341E30BA" w14:textId="77777777" w:rsidR="0063472F" w:rsidRDefault="0063472F" w:rsidP="00915E89">
      <w:pPr>
        <w:ind w:firstLine="720"/>
        <w:rPr>
          <w:lang w:val="en-US"/>
        </w:rPr>
      </w:pPr>
      <w:r>
        <w:rPr>
          <w:lang w:val="en-US"/>
        </w:rPr>
        <w:t xml:space="preserve">The partner trauma model, on the other hand, </w:t>
      </w:r>
      <w:proofErr w:type="gramStart"/>
      <w:r>
        <w:rPr>
          <w:lang w:val="en-US"/>
        </w:rPr>
        <w:t>takes into account</w:t>
      </w:r>
      <w:proofErr w:type="gramEnd"/>
      <w:r>
        <w:rPr>
          <w:lang w:val="en-US"/>
        </w:rPr>
        <w:t xml:space="preserve"> the impact of the hidden sexual </w:t>
      </w:r>
      <w:proofErr w:type="spellStart"/>
      <w:r>
        <w:rPr>
          <w:lang w:val="en-US"/>
        </w:rPr>
        <w:t>behaviours</w:t>
      </w:r>
      <w:proofErr w:type="spellEnd"/>
      <w:r>
        <w:rPr>
          <w:lang w:val="en-US"/>
        </w:rPr>
        <w:t xml:space="preserve"> on the entire system: addict, partner, children, community. </w:t>
      </w:r>
    </w:p>
    <w:p w14:paraId="054019C1" w14:textId="77777777" w:rsidR="0063472F" w:rsidRDefault="0063472F" w:rsidP="0063472F">
      <w:pPr>
        <w:rPr>
          <w:lang w:val="en-US"/>
        </w:rPr>
      </w:pPr>
    </w:p>
    <w:p w14:paraId="0728ADD9" w14:textId="08457687" w:rsidR="0063472F" w:rsidRPr="0063472F" w:rsidRDefault="0063472F" w:rsidP="00915E89">
      <w:pPr>
        <w:ind w:firstLine="720"/>
        <w:rPr>
          <w:lang w:val="en-US"/>
        </w:rPr>
      </w:pPr>
      <w:r>
        <w:rPr>
          <w:lang w:val="en-US"/>
        </w:rPr>
        <w:t>Finally, many of the loudest det</w:t>
      </w:r>
      <w:r w:rsidR="00915E89">
        <w:rPr>
          <w:lang w:val="en-US"/>
        </w:rPr>
        <w:t>ractors of the PSA trauma model</w:t>
      </w:r>
      <w:r>
        <w:rPr>
          <w:lang w:val="en-US"/>
        </w:rPr>
        <w:t xml:space="preserve"> are the same voices who disagree with the “sex addiction” concept. Whether the model offered by the sexual addiction field to explain chronic patterns of problematic sexual </w:t>
      </w:r>
      <w:proofErr w:type="spellStart"/>
      <w:r>
        <w:rPr>
          <w:lang w:val="en-US"/>
        </w:rPr>
        <w:t>behaviour</w:t>
      </w:r>
      <w:proofErr w:type="spellEnd"/>
      <w:r>
        <w:rPr>
          <w:lang w:val="en-US"/>
        </w:rPr>
        <w:t xml:space="preserve"> should be the standard in the therapeutic community is beyond the scope of this presentation. However, we should note that with 30 years of consistent development, the sex addiction model is well known, and many continue to seek help from those working in this particular model. </w:t>
      </w:r>
    </w:p>
    <w:p w14:paraId="3EA2222B" w14:textId="77777777" w:rsidR="0063472F" w:rsidRDefault="0063472F">
      <w:pPr>
        <w:spacing w:line="240" w:lineRule="auto"/>
      </w:pPr>
      <w:r>
        <w:br w:type="page"/>
      </w:r>
    </w:p>
    <w:p w14:paraId="6D059845" w14:textId="77777777" w:rsidR="0063472F" w:rsidRDefault="0063472F" w:rsidP="0063472F">
      <w:pPr>
        <w:autoSpaceDE w:val="0"/>
        <w:autoSpaceDN w:val="0"/>
        <w:adjustRightInd w:val="0"/>
        <w:spacing w:line="283" w:lineRule="auto"/>
        <w:rPr>
          <w:rFonts w:ascii="Helvetica Neue" w:hAnsi="Helvetica Neue" w:cs="Helvetica Neue"/>
          <w:color w:val="000000"/>
          <w:lang w:val="en-US"/>
        </w:rPr>
      </w:pPr>
      <w:r w:rsidRPr="0063472F">
        <w:rPr>
          <w:noProof/>
          <w:lang w:eastAsia="en-GB"/>
        </w:rPr>
        <w:lastRenderedPageBreak/>
        <w:drawing>
          <wp:anchor distT="0" distB="0" distL="114300" distR="114300" simplePos="0" relativeHeight="251660288" behindDoc="0" locked="0" layoutInCell="1" allowOverlap="1" wp14:anchorId="4D1A3432" wp14:editId="01514200">
            <wp:simplePos x="0" y="0"/>
            <wp:positionH relativeFrom="column">
              <wp:posOffset>-322580</wp:posOffset>
            </wp:positionH>
            <wp:positionV relativeFrom="paragraph">
              <wp:posOffset>57</wp:posOffset>
            </wp:positionV>
            <wp:extent cx="6425076" cy="4818807"/>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25076" cy="4818807"/>
                    </a:xfrm>
                    <a:prstGeom prst="rect">
                      <a:avLst/>
                    </a:prstGeom>
                  </pic:spPr>
                </pic:pic>
              </a:graphicData>
            </a:graphic>
            <wp14:sizeRelH relativeFrom="page">
              <wp14:pctWidth>0</wp14:pctWidth>
            </wp14:sizeRelH>
            <wp14:sizeRelV relativeFrom="page">
              <wp14:pctHeight>0</wp14:pctHeight>
            </wp14:sizeRelV>
          </wp:anchor>
        </w:drawing>
      </w:r>
    </w:p>
    <w:p w14:paraId="0AAF884E" w14:textId="77777777" w:rsidR="00620CD6" w:rsidRDefault="00620CD6" w:rsidP="0063472F">
      <w:pPr>
        <w:rPr>
          <w:lang w:val="en-US"/>
        </w:rPr>
      </w:pPr>
    </w:p>
    <w:p w14:paraId="0B0CC7EB" w14:textId="1EF041B9" w:rsidR="0063472F" w:rsidRDefault="0063472F" w:rsidP="002A41C3">
      <w:pPr>
        <w:ind w:firstLine="720"/>
        <w:rPr>
          <w:lang w:val="en-US"/>
        </w:rPr>
      </w:pPr>
      <w:r>
        <w:rPr>
          <w:lang w:val="en-US"/>
        </w:rPr>
        <w:t>In their study</w:t>
      </w:r>
      <w:r w:rsidR="002A41C3">
        <w:rPr>
          <w:lang w:val="en-US"/>
        </w:rPr>
        <w:t>,</w:t>
      </w:r>
      <w:r>
        <w:rPr>
          <w:lang w:val="en-US"/>
        </w:rPr>
        <w:t xml:space="preserve"> Steffens &amp; Rennie (2006) discovered that nearly 70% of the PSAs they surveyed “met all but Criteria A1 for a diagnosis of PTSD, including criteria A2, which requires that the individual experience feelings of helplessness and terror in response to the traumatic event” (Steffe</w:t>
      </w:r>
      <w:r w:rsidR="00FB62BD">
        <w:rPr>
          <w:lang w:val="en-US"/>
        </w:rPr>
        <w:t>ns &amp; Rennie, 2006, p. 260). The</w:t>
      </w:r>
      <w:r>
        <w:rPr>
          <w:lang w:val="en-US"/>
        </w:rPr>
        <w:t xml:space="preserve"> latter criteria could be said to equate to an extremely negative valence.</w:t>
      </w:r>
    </w:p>
    <w:p w14:paraId="045E42F7" w14:textId="77777777" w:rsidR="0063472F" w:rsidRDefault="0063472F" w:rsidP="0063472F">
      <w:pPr>
        <w:rPr>
          <w:lang w:val="en-US"/>
        </w:rPr>
      </w:pPr>
    </w:p>
    <w:p w14:paraId="2F3BA0E0" w14:textId="77777777" w:rsidR="0063472F" w:rsidRDefault="0063472F" w:rsidP="002A41C3">
      <w:pPr>
        <w:ind w:firstLine="720"/>
        <w:rPr>
          <w:lang w:val="en-US"/>
        </w:rPr>
      </w:pPr>
      <w:r>
        <w:rPr>
          <w:lang w:val="en-US"/>
        </w:rPr>
        <w:t>In 2005, psychologist Kevin Skinner posted an online survey to determine if the trauma symptoms being exhibited by his clients who had a partner or spouse sexually acting out was similar for individuals not in therapy (Skinner, 2015). Over the ten-year course of the study, more than 1,400 women and men completed the survey and from the data “it became clear… that the PTSD criteria model was a legitimate way to look at responses to infidelity and other sexual behaviors outside the marital bond” (Skinner, 2015, para 19).</w:t>
      </w:r>
    </w:p>
    <w:p w14:paraId="1D976C1F" w14:textId="77777777" w:rsidR="0063472F" w:rsidRDefault="0063472F" w:rsidP="0063472F">
      <w:pPr>
        <w:rPr>
          <w:lang w:val="en-US"/>
        </w:rPr>
      </w:pPr>
    </w:p>
    <w:p w14:paraId="551BA452" w14:textId="77777777" w:rsidR="0063472F" w:rsidRDefault="0063472F" w:rsidP="002A41C3">
      <w:pPr>
        <w:ind w:firstLine="720"/>
        <w:rPr>
          <w:lang w:val="en-US"/>
        </w:rPr>
      </w:pPr>
      <w:r>
        <w:rPr>
          <w:lang w:val="en-US"/>
        </w:rPr>
        <w:lastRenderedPageBreak/>
        <w:t>An even larger s</w:t>
      </w:r>
      <w:r w:rsidR="00E8514C">
        <w:rPr>
          <w:lang w:val="en-US"/>
        </w:rPr>
        <w:t>tudy of PSAs—8667 participants—</w:t>
      </w:r>
      <w:r>
        <w:rPr>
          <w:lang w:val="en-US"/>
        </w:rPr>
        <w:t xml:space="preserve">by Stephanie Carnes and Suzanne O’Connor (2016) demonstrated that the sexual acting out (95%) and hiding </w:t>
      </w:r>
      <w:proofErr w:type="spellStart"/>
      <w:r>
        <w:rPr>
          <w:lang w:val="en-US"/>
        </w:rPr>
        <w:t>behaviours</w:t>
      </w:r>
      <w:proofErr w:type="spellEnd"/>
      <w:r>
        <w:rPr>
          <w:lang w:val="en-US"/>
        </w:rPr>
        <w:t xml:space="preserve"> (93%) resulted in “significant trauma-related consequences,” as per the findings of earlier studies (Carnes &amp; O’Connor, 2016, p. 149).</w:t>
      </w:r>
    </w:p>
    <w:p w14:paraId="207BCD6F" w14:textId="77777777" w:rsidR="0063472F" w:rsidRDefault="0063472F">
      <w:pPr>
        <w:spacing w:line="240" w:lineRule="auto"/>
        <w:rPr>
          <w:lang w:val="en-US"/>
        </w:rPr>
      </w:pPr>
      <w:r>
        <w:rPr>
          <w:lang w:val="en-US"/>
        </w:rPr>
        <w:br w:type="page"/>
      </w:r>
    </w:p>
    <w:p w14:paraId="4884E787" w14:textId="77777777" w:rsidR="0063472F" w:rsidRDefault="0063472F" w:rsidP="0063472F">
      <w:pPr>
        <w:rPr>
          <w:lang w:val="en-US"/>
        </w:rPr>
      </w:pPr>
      <w:r w:rsidRPr="0063472F">
        <w:rPr>
          <w:noProof/>
          <w:lang w:eastAsia="en-GB"/>
        </w:rPr>
        <w:lastRenderedPageBreak/>
        <w:drawing>
          <wp:anchor distT="0" distB="0" distL="114300" distR="114300" simplePos="0" relativeHeight="251661312" behindDoc="0" locked="0" layoutInCell="1" allowOverlap="1" wp14:anchorId="255DB9B1" wp14:editId="17A97DEA">
            <wp:simplePos x="0" y="0"/>
            <wp:positionH relativeFrom="column">
              <wp:posOffset>-347019</wp:posOffset>
            </wp:positionH>
            <wp:positionV relativeFrom="paragraph">
              <wp:posOffset>612</wp:posOffset>
            </wp:positionV>
            <wp:extent cx="6423615" cy="4817711"/>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23615" cy="4817711"/>
                    </a:xfrm>
                    <a:prstGeom prst="rect">
                      <a:avLst/>
                    </a:prstGeom>
                  </pic:spPr>
                </pic:pic>
              </a:graphicData>
            </a:graphic>
            <wp14:sizeRelH relativeFrom="page">
              <wp14:pctWidth>0</wp14:pctWidth>
            </wp14:sizeRelH>
            <wp14:sizeRelV relativeFrom="page">
              <wp14:pctHeight>0</wp14:pctHeight>
            </wp14:sizeRelV>
          </wp:anchor>
        </w:drawing>
      </w:r>
    </w:p>
    <w:p w14:paraId="2DB2F578" w14:textId="77777777" w:rsidR="00620CD6" w:rsidRDefault="00620CD6" w:rsidP="0063472F">
      <w:pPr>
        <w:rPr>
          <w:lang w:val="en-US"/>
        </w:rPr>
      </w:pPr>
    </w:p>
    <w:p w14:paraId="457FC4C0" w14:textId="77777777" w:rsidR="0063472F" w:rsidRPr="0063472F" w:rsidRDefault="0063472F" w:rsidP="002A41C3">
      <w:pPr>
        <w:ind w:firstLine="720"/>
        <w:rPr>
          <w:lang w:val="en-US"/>
        </w:rPr>
      </w:pPr>
      <w:r w:rsidRPr="0063472F">
        <w:rPr>
          <w:lang w:val="en-US"/>
        </w:rPr>
        <w:t xml:space="preserve">As you can gather from this quote, the trauma experienced by PSAs is not strictly limited to the disclosure event. While discovery/disclosure of the hidden sexual </w:t>
      </w:r>
      <w:proofErr w:type="spellStart"/>
      <w:r w:rsidRPr="0063472F">
        <w:rPr>
          <w:lang w:val="en-US"/>
        </w:rPr>
        <w:t>behaviours</w:t>
      </w:r>
      <w:proofErr w:type="spellEnd"/>
      <w:r w:rsidRPr="0063472F">
        <w:rPr>
          <w:lang w:val="en-US"/>
        </w:rPr>
        <w:t xml:space="preserve"> can be classified as a “traumatic life event” (APSATS, 2012), PSAs routinely suffer from betrayal and attachment traumas (APSATS, 2012).</w:t>
      </w:r>
    </w:p>
    <w:p w14:paraId="51ABD084" w14:textId="77777777" w:rsidR="0063472F" w:rsidRPr="0063472F" w:rsidRDefault="0063472F" w:rsidP="0063472F">
      <w:pPr>
        <w:rPr>
          <w:lang w:val="en-US"/>
        </w:rPr>
      </w:pPr>
    </w:p>
    <w:p w14:paraId="476B3ED4" w14:textId="77777777" w:rsidR="0063472F" w:rsidRPr="0063472F" w:rsidRDefault="0063472F" w:rsidP="002A41C3">
      <w:pPr>
        <w:ind w:firstLine="720"/>
        <w:rPr>
          <w:lang w:val="en-US"/>
        </w:rPr>
      </w:pPr>
      <w:r w:rsidRPr="0063472F">
        <w:rPr>
          <w:lang w:val="en-US"/>
        </w:rPr>
        <w:t xml:space="preserve">It was Jennifer </w:t>
      </w:r>
      <w:proofErr w:type="spellStart"/>
      <w:r w:rsidRPr="0063472F">
        <w:rPr>
          <w:lang w:val="en-US"/>
        </w:rPr>
        <w:t>Freyd</w:t>
      </w:r>
      <w:proofErr w:type="spellEnd"/>
      <w:r w:rsidRPr="0063472F">
        <w:rPr>
          <w:lang w:val="en-US"/>
        </w:rPr>
        <w:t xml:space="preserve"> (1996) who first coined the phrase “betrayal trauma” </w:t>
      </w:r>
      <w:proofErr w:type="gramStart"/>
      <w:r w:rsidRPr="0063472F">
        <w:rPr>
          <w:lang w:val="en-US"/>
        </w:rPr>
        <w:t>in reference to</w:t>
      </w:r>
      <w:proofErr w:type="gramEnd"/>
      <w:r w:rsidRPr="0063472F">
        <w:rPr>
          <w:lang w:val="en-US"/>
        </w:rPr>
        <w:t xml:space="preserve"> ongoing, interpersonal traumas such as child abuse and other violations by</w:t>
      </w:r>
      <w:r w:rsidR="00E8514C">
        <w:rPr>
          <w:lang w:val="en-US"/>
        </w:rPr>
        <w:t xml:space="preserve"> someone depended on for safety or</w:t>
      </w:r>
      <w:r w:rsidRPr="0063472F">
        <w:rPr>
          <w:lang w:val="en-US"/>
        </w:rPr>
        <w:t xml:space="preserve"> se</w:t>
      </w:r>
      <w:r w:rsidR="00E8514C">
        <w:rPr>
          <w:lang w:val="en-US"/>
        </w:rPr>
        <w:t>curity</w:t>
      </w:r>
      <w:r w:rsidRPr="0063472F">
        <w:rPr>
          <w:lang w:val="en-US"/>
        </w:rPr>
        <w:t xml:space="preserve">. </w:t>
      </w:r>
      <w:proofErr w:type="spellStart"/>
      <w:r w:rsidRPr="0063472F">
        <w:rPr>
          <w:lang w:val="en-US"/>
        </w:rPr>
        <w:t>Freyd</w:t>
      </w:r>
      <w:proofErr w:type="spellEnd"/>
      <w:r w:rsidRPr="0063472F">
        <w:rPr>
          <w:lang w:val="en-US"/>
        </w:rPr>
        <w:t xml:space="preserve"> and a colleague would note in later research that women are much more likely than men to experience high-levels of betrayal trauma (Platt &amp; </w:t>
      </w:r>
      <w:proofErr w:type="spellStart"/>
      <w:r w:rsidRPr="0063472F">
        <w:rPr>
          <w:lang w:val="en-US"/>
        </w:rPr>
        <w:t>Freyd</w:t>
      </w:r>
      <w:proofErr w:type="spellEnd"/>
      <w:r w:rsidRPr="0063472F">
        <w:rPr>
          <w:lang w:val="en-US"/>
        </w:rPr>
        <w:t xml:space="preserve">, 2015), which may explain the differences in the results between studies limited to female </w:t>
      </w:r>
      <w:r w:rsidR="00E8514C">
        <w:rPr>
          <w:lang w:val="en-US"/>
        </w:rPr>
        <w:t xml:space="preserve">PSA </w:t>
      </w:r>
      <w:r w:rsidRPr="0063472F">
        <w:rPr>
          <w:lang w:val="en-US"/>
        </w:rPr>
        <w:t>participants (Steffens &amp; Rennie, 2006) versus those with both male and female participants (Carnes &amp; O’Conner, 2016; Skinner, 2015).</w:t>
      </w:r>
    </w:p>
    <w:p w14:paraId="785633EA" w14:textId="77777777" w:rsidR="0063472F" w:rsidRPr="0063472F" w:rsidRDefault="0063472F" w:rsidP="0063472F">
      <w:pPr>
        <w:rPr>
          <w:lang w:val="en-US"/>
        </w:rPr>
      </w:pPr>
    </w:p>
    <w:p w14:paraId="1E127D3D" w14:textId="09FC0A63" w:rsidR="0063472F" w:rsidRPr="0063472F" w:rsidRDefault="0063472F" w:rsidP="002A41C3">
      <w:pPr>
        <w:ind w:firstLine="720"/>
        <w:rPr>
          <w:lang w:val="en-US"/>
        </w:rPr>
      </w:pPr>
      <w:r w:rsidRPr="0063472F">
        <w:rPr>
          <w:lang w:val="en-US"/>
        </w:rPr>
        <w:lastRenderedPageBreak/>
        <w:t xml:space="preserve">Couples researchers, building on </w:t>
      </w:r>
      <w:proofErr w:type="spellStart"/>
      <w:r w:rsidRPr="0063472F">
        <w:rPr>
          <w:lang w:val="en-US"/>
        </w:rPr>
        <w:t>Freyd’s</w:t>
      </w:r>
      <w:proofErr w:type="spellEnd"/>
      <w:r w:rsidRPr="0063472F">
        <w:rPr>
          <w:lang w:val="en-US"/>
        </w:rPr>
        <w:t xml:space="preserve"> work, began to propose, early in the new </w:t>
      </w:r>
      <w:r w:rsidR="00520583" w:rsidRPr="0063472F">
        <w:rPr>
          <w:lang w:val="en-US"/>
        </w:rPr>
        <w:t>millennium</w:t>
      </w:r>
      <w:r w:rsidRPr="0063472F">
        <w:rPr>
          <w:lang w:val="en-US"/>
        </w:rPr>
        <w:t xml:space="preserve">, that infidelity could also cause betrayal trauma (Gordon &amp; </w:t>
      </w:r>
      <w:proofErr w:type="spellStart"/>
      <w:r w:rsidRPr="0063472F">
        <w:rPr>
          <w:lang w:val="en-US"/>
        </w:rPr>
        <w:t>Baucom</w:t>
      </w:r>
      <w:proofErr w:type="spellEnd"/>
      <w:r w:rsidRPr="0063472F">
        <w:rPr>
          <w:lang w:val="en-US"/>
        </w:rPr>
        <w:t xml:space="preserve">, 2003; </w:t>
      </w:r>
      <w:proofErr w:type="spellStart"/>
      <w:r w:rsidRPr="0063472F">
        <w:rPr>
          <w:lang w:val="en-US"/>
        </w:rPr>
        <w:t>Zitzman</w:t>
      </w:r>
      <w:proofErr w:type="spellEnd"/>
      <w:r w:rsidRPr="0063472F">
        <w:rPr>
          <w:lang w:val="en-US"/>
        </w:rPr>
        <w:t xml:space="preserve"> &amp; Butler, 2009). Sue Johnson (2005) would explain betrayal trauma in terms of an “attachment injury,” as the spouse or partner is often the offended partner’s primary adult attachment figure (Johnson, 2005, p. 19).</w:t>
      </w:r>
    </w:p>
    <w:p w14:paraId="465B4FEC" w14:textId="77777777" w:rsidR="0063472F" w:rsidRPr="0063472F" w:rsidRDefault="0063472F" w:rsidP="0063472F">
      <w:pPr>
        <w:rPr>
          <w:lang w:val="en-US"/>
        </w:rPr>
      </w:pPr>
    </w:p>
    <w:p w14:paraId="3815E481" w14:textId="77777777" w:rsidR="0063472F" w:rsidRDefault="0063472F" w:rsidP="002A41C3">
      <w:pPr>
        <w:ind w:firstLine="720"/>
        <w:rPr>
          <w:lang w:val="en-US"/>
        </w:rPr>
      </w:pPr>
      <w:r w:rsidRPr="0063472F">
        <w:rPr>
          <w:lang w:val="en-US"/>
        </w:rPr>
        <w:t>Not dissimilar to childhood abuse, those who choose to live with a person who continually sexually betrays them are likely to exhibit signs of complex PTSD.</w:t>
      </w:r>
    </w:p>
    <w:p w14:paraId="3AEC058D" w14:textId="77777777" w:rsidR="0063472F" w:rsidRDefault="0063472F">
      <w:pPr>
        <w:spacing w:line="240" w:lineRule="auto"/>
        <w:rPr>
          <w:lang w:val="en-US"/>
        </w:rPr>
      </w:pPr>
      <w:r>
        <w:rPr>
          <w:lang w:val="en-US"/>
        </w:rPr>
        <w:br w:type="page"/>
      </w:r>
    </w:p>
    <w:p w14:paraId="0B9DC027" w14:textId="77777777" w:rsidR="0063472F" w:rsidRDefault="0063472F" w:rsidP="0063472F">
      <w:pPr>
        <w:rPr>
          <w:lang w:val="en-US"/>
        </w:rPr>
      </w:pPr>
      <w:r w:rsidRPr="0063472F">
        <w:rPr>
          <w:noProof/>
          <w:lang w:eastAsia="en-GB"/>
        </w:rPr>
        <w:lastRenderedPageBreak/>
        <w:drawing>
          <wp:anchor distT="0" distB="0" distL="114300" distR="114300" simplePos="0" relativeHeight="251662336" behindDoc="0" locked="0" layoutInCell="1" allowOverlap="1" wp14:anchorId="5C504B57" wp14:editId="0F673C30">
            <wp:simplePos x="0" y="0"/>
            <wp:positionH relativeFrom="column">
              <wp:posOffset>-356235</wp:posOffset>
            </wp:positionH>
            <wp:positionV relativeFrom="paragraph">
              <wp:posOffset>219</wp:posOffset>
            </wp:positionV>
            <wp:extent cx="6464075" cy="4848056"/>
            <wp:effectExtent l="0" t="0" r="635"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64075" cy="4848056"/>
                    </a:xfrm>
                    <a:prstGeom prst="rect">
                      <a:avLst/>
                    </a:prstGeom>
                  </pic:spPr>
                </pic:pic>
              </a:graphicData>
            </a:graphic>
            <wp14:sizeRelH relativeFrom="page">
              <wp14:pctWidth>0</wp14:pctWidth>
            </wp14:sizeRelH>
            <wp14:sizeRelV relativeFrom="page">
              <wp14:pctHeight>0</wp14:pctHeight>
            </wp14:sizeRelV>
          </wp:anchor>
        </w:drawing>
      </w:r>
    </w:p>
    <w:p w14:paraId="3DE1480C" w14:textId="77777777" w:rsidR="00620CD6" w:rsidRDefault="00620CD6" w:rsidP="0063472F">
      <w:pPr>
        <w:rPr>
          <w:lang w:val="en-US"/>
        </w:rPr>
      </w:pPr>
    </w:p>
    <w:p w14:paraId="0695D0D3" w14:textId="77777777" w:rsidR="0063472F" w:rsidRPr="0063472F" w:rsidRDefault="0063472F" w:rsidP="002A41C3">
      <w:pPr>
        <w:ind w:firstLine="720"/>
        <w:rPr>
          <w:lang w:val="en-US"/>
        </w:rPr>
      </w:pPr>
      <w:r w:rsidRPr="0063472F">
        <w:rPr>
          <w:lang w:val="en-US"/>
        </w:rPr>
        <w:t xml:space="preserve">As we know, trauma, particularly complex PTSD, has a significant negative impact on the brain. It “organizes survival responses in the lower brain structures and disorganizes cognitive functions in the neocortex” (APSATS, 2012). The result is a see-sawing between hyper-arousal symptoms—such as panic attacks, rage, sleep disturbances, flashbacks, hypervigilance, muscle tension—and hypo-arousal symptoms—such as dissociation, numbing, memory issues, exhaustion and depression (APSATS, 2012). </w:t>
      </w:r>
    </w:p>
    <w:p w14:paraId="3C78E7AC" w14:textId="77777777" w:rsidR="0063472F" w:rsidRPr="0063472F" w:rsidRDefault="0063472F" w:rsidP="0063472F">
      <w:pPr>
        <w:rPr>
          <w:lang w:val="en-US"/>
        </w:rPr>
      </w:pPr>
    </w:p>
    <w:p w14:paraId="055C9418" w14:textId="77777777" w:rsidR="008C52E2" w:rsidRDefault="0063472F" w:rsidP="002A41C3">
      <w:pPr>
        <w:ind w:firstLine="720"/>
        <w:rPr>
          <w:lang w:val="en-US"/>
        </w:rPr>
      </w:pPr>
      <w:r w:rsidRPr="0063472F">
        <w:rPr>
          <w:lang w:val="en-US"/>
        </w:rPr>
        <w:t xml:space="preserve">Moreover, Judith Herman (1997) noted that trauma frequently results in an altered belief system: the sense that nothing and no one in the world, and beyond, is to be trusted. </w:t>
      </w:r>
    </w:p>
    <w:p w14:paraId="4BAA11B1" w14:textId="77777777" w:rsidR="008C52E2" w:rsidRDefault="008C52E2">
      <w:pPr>
        <w:spacing w:line="240" w:lineRule="auto"/>
        <w:rPr>
          <w:lang w:val="en-US"/>
        </w:rPr>
      </w:pPr>
      <w:r>
        <w:rPr>
          <w:lang w:val="en-US"/>
        </w:rPr>
        <w:br w:type="page"/>
      </w:r>
    </w:p>
    <w:p w14:paraId="56759D40" w14:textId="77777777" w:rsidR="0063472F" w:rsidRDefault="008C52E2" w:rsidP="0063472F">
      <w:pPr>
        <w:rPr>
          <w:lang w:val="en-US"/>
        </w:rPr>
      </w:pPr>
      <w:r w:rsidRPr="008C52E2">
        <w:rPr>
          <w:noProof/>
          <w:lang w:eastAsia="en-GB"/>
        </w:rPr>
        <w:lastRenderedPageBreak/>
        <w:drawing>
          <wp:anchor distT="0" distB="0" distL="114300" distR="114300" simplePos="0" relativeHeight="251663360" behindDoc="0" locked="0" layoutInCell="1" allowOverlap="1" wp14:anchorId="067CA4B4" wp14:editId="76C747C2">
            <wp:simplePos x="0" y="0"/>
            <wp:positionH relativeFrom="column">
              <wp:posOffset>-315617</wp:posOffset>
            </wp:positionH>
            <wp:positionV relativeFrom="paragraph">
              <wp:posOffset>433</wp:posOffset>
            </wp:positionV>
            <wp:extent cx="6390640" cy="47929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90640" cy="4792980"/>
                    </a:xfrm>
                    <a:prstGeom prst="rect">
                      <a:avLst/>
                    </a:prstGeom>
                  </pic:spPr>
                </pic:pic>
              </a:graphicData>
            </a:graphic>
            <wp14:sizeRelH relativeFrom="page">
              <wp14:pctWidth>0</wp14:pctWidth>
            </wp14:sizeRelH>
            <wp14:sizeRelV relativeFrom="page">
              <wp14:pctHeight>0</wp14:pctHeight>
            </wp14:sizeRelV>
          </wp:anchor>
        </w:drawing>
      </w:r>
      <w:r w:rsidR="0063472F" w:rsidRPr="0063472F">
        <w:rPr>
          <w:lang w:val="en-US"/>
        </w:rPr>
        <w:t xml:space="preserve"> </w:t>
      </w:r>
    </w:p>
    <w:p w14:paraId="791E73F1" w14:textId="77777777" w:rsidR="008C52E2" w:rsidRDefault="008C52E2" w:rsidP="002A41C3">
      <w:pPr>
        <w:ind w:firstLine="720"/>
      </w:pPr>
      <w:r>
        <w:t>In 1997, Judith Herman introduced a three-stage model for working with trauma survivors. APSATS adapted that model in 2012 for work with PSA trauma. Understanding either of these models would be the most basic criteria for counselling PSAs exhibiting trauma symptoms.</w:t>
      </w:r>
    </w:p>
    <w:p w14:paraId="2052E0A2" w14:textId="77777777" w:rsidR="008C52E2" w:rsidRDefault="008C52E2" w:rsidP="008C52E2"/>
    <w:p w14:paraId="268078E6" w14:textId="00E569A4" w:rsidR="008C52E2" w:rsidRDefault="008C52E2" w:rsidP="008C52E2">
      <w:r>
        <w:t xml:space="preserve"> </w:t>
      </w:r>
      <w:r w:rsidR="002A41C3">
        <w:tab/>
      </w:r>
      <w:r>
        <w:t>Some PSAs also benefit from specialist trauma interventions such as EMDR, mindfulness techniques and somatic psychotherapies (APSATS, 2012). Those untrained in such interventions may wish to refer their client to specialists who do this work.</w:t>
      </w:r>
    </w:p>
    <w:p w14:paraId="29AAE56D" w14:textId="77777777" w:rsidR="008C52E2" w:rsidRDefault="008C52E2" w:rsidP="008C52E2"/>
    <w:p w14:paraId="1C304038" w14:textId="77777777" w:rsidR="008C52E2" w:rsidRDefault="008C52E2" w:rsidP="002A41C3">
      <w:pPr>
        <w:ind w:firstLine="720"/>
      </w:pPr>
      <w:r>
        <w:t>Lastly, many PSAs find participating in specialist support groups</w:t>
      </w:r>
      <w:r w:rsidR="00E8514C">
        <w:t>—either therapist- or peer-led—</w:t>
      </w:r>
      <w:r>
        <w:t>helpful (APSATS, 2012). There are presently a few such groups running in the country; plus, there are online groups available, based out of the US. Most of these groups focus on stage-one trauma work (Herman, 1997) as that is the stage when support is most needed.</w:t>
      </w:r>
    </w:p>
    <w:p w14:paraId="021C71F9" w14:textId="1099A037" w:rsidR="008C52E2" w:rsidRDefault="0053642E" w:rsidP="008C52E2">
      <w:r w:rsidRPr="0053642E">
        <w:rPr>
          <w:noProof/>
          <w:lang w:eastAsia="en-GB"/>
        </w:rPr>
        <w:lastRenderedPageBreak/>
        <w:drawing>
          <wp:anchor distT="0" distB="0" distL="114300" distR="114300" simplePos="0" relativeHeight="251666432" behindDoc="0" locked="0" layoutInCell="1" allowOverlap="1" wp14:anchorId="4258091D" wp14:editId="206815BC">
            <wp:simplePos x="0" y="0"/>
            <wp:positionH relativeFrom="column">
              <wp:posOffset>-290830</wp:posOffset>
            </wp:positionH>
            <wp:positionV relativeFrom="paragraph">
              <wp:posOffset>2540</wp:posOffset>
            </wp:positionV>
            <wp:extent cx="6337935" cy="4752975"/>
            <wp:effectExtent l="0" t="0" r="1206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37935" cy="4752975"/>
                    </a:xfrm>
                    <a:prstGeom prst="rect">
                      <a:avLst/>
                    </a:prstGeom>
                  </pic:spPr>
                </pic:pic>
              </a:graphicData>
            </a:graphic>
            <wp14:sizeRelH relativeFrom="page">
              <wp14:pctWidth>0</wp14:pctWidth>
            </wp14:sizeRelH>
            <wp14:sizeRelV relativeFrom="page">
              <wp14:pctHeight>0</wp14:pctHeight>
            </wp14:sizeRelV>
          </wp:anchor>
        </w:drawing>
      </w:r>
    </w:p>
    <w:p w14:paraId="184D17D4" w14:textId="77777777" w:rsidR="00620CD6" w:rsidRDefault="00620CD6" w:rsidP="008C52E2"/>
    <w:p w14:paraId="6097E699" w14:textId="77777777" w:rsidR="008C52E2" w:rsidRDefault="008C52E2" w:rsidP="002A41C3">
      <w:pPr>
        <w:ind w:firstLine="720"/>
      </w:pPr>
      <w:r>
        <w:t xml:space="preserve">Here you can see APSAT’s adaption of Herman’s (1997) three-stage model. This model is known as the Multidimensional Partner Trauma Model </w:t>
      </w:r>
      <w:r w:rsidR="00227E5E">
        <w:t xml:space="preserve">or M-PTM </w:t>
      </w:r>
      <w:r>
        <w:t>(APSATS, 2012).</w:t>
      </w:r>
    </w:p>
    <w:p w14:paraId="3E767078" w14:textId="77777777" w:rsidR="008C52E2" w:rsidRDefault="008C52E2" w:rsidP="008C52E2"/>
    <w:p w14:paraId="60C59338" w14:textId="77777777" w:rsidR="008C52E2" w:rsidRDefault="008C52E2" w:rsidP="002A41C3">
      <w:pPr>
        <w:ind w:firstLine="720"/>
      </w:pPr>
      <w:r>
        <w:t>As with Herman’s (1997) model, stage 1 focuses on safety</w:t>
      </w:r>
      <w:r w:rsidR="00E8514C">
        <w:t xml:space="preserve"> and stabilisation</w:t>
      </w:r>
      <w:r>
        <w:t xml:space="preserve">. </w:t>
      </w:r>
      <w:r w:rsidR="00227E5E">
        <w:t>This</w:t>
      </w:r>
      <w:r>
        <w:t xml:space="preserve"> includes assessing for domestic violence, STI testing and disclosure of all sexual acting out information the PSA needs to feel safe (APSATS, 2012). The latter is usually performed in a therapeutic setting, in collaboration with the SA’s counsellor: though some couples prefer to do the disclosure themselves. A therapeutic disclosure is, in the US, generally followed up with a polygraph examination (APSATS, 2012), a step that is increasingly in demand in New Zealand. </w:t>
      </w:r>
    </w:p>
    <w:p w14:paraId="16ADAD34" w14:textId="77777777" w:rsidR="008C52E2" w:rsidRDefault="008C52E2" w:rsidP="008C52E2"/>
    <w:p w14:paraId="1FDA5FE9" w14:textId="77777777" w:rsidR="008C52E2" w:rsidRDefault="008C52E2" w:rsidP="002A41C3">
      <w:pPr>
        <w:ind w:firstLine="720"/>
      </w:pPr>
      <w:r>
        <w:lastRenderedPageBreak/>
        <w:t>Stabilisation, for the most part follows safety, though crisis-situation grounding techniques are often taught even in the first session. Other “skills-building” stabilisation work includes psychoeducation around triggers—</w:t>
      </w:r>
      <w:r w:rsidR="00227E5E">
        <w:t>identifying, and managing them—</w:t>
      </w:r>
      <w:r>
        <w:t xml:space="preserve">and protective boundaries (APSATS, 2012). </w:t>
      </w:r>
    </w:p>
    <w:p w14:paraId="179E3414" w14:textId="77777777" w:rsidR="008C52E2" w:rsidRDefault="008C52E2" w:rsidP="008C52E2"/>
    <w:p w14:paraId="2B40B337" w14:textId="77777777" w:rsidR="008C52E2" w:rsidRDefault="008C52E2" w:rsidP="002A41C3">
      <w:pPr>
        <w:ind w:firstLine="720"/>
      </w:pPr>
      <w:r>
        <w:t>Since PSAs frequently have a lot of questions about how the SA’s recovery is progressing (if at all), the therapist can help guide her on setting boundaries around the SA’s transparency. One or two psychoeducational sessions with the SA, to help him understand the PSAs trauma and healing process, and to encourage him to be an active participant in the relational healing, may also be in order (APSATS, 2012). However, if, the SA has a history of control and coercion with the PSA, this step is contraindicated (APSATS, 2012). Similarly, conjoint work, including disclosure, needs to be skipped if the SA is not engaged in his own healing process.</w:t>
      </w:r>
    </w:p>
    <w:p w14:paraId="6C28178D" w14:textId="77777777" w:rsidR="008C52E2" w:rsidRDefault="008C52E2" w:rsidP="008C52E2"/>
    <w:p w14:paraId="591C5C81" w14:textId="77777777" w:rsidR="008C52E2" w:rsidRDefault="008C52E2" w:rsidP="002A41C3">
      <w:pPr>
        <w:ind w:firstLine="720"/>
      </w:pPr>
      <w:r>
        <w:t>Stage 2 and 3 come much later in the process, if ever. For those who do not remain in the relationship with the SA, developing a grieving ritual to commemorate the “death” of the relationship may be helpful. This may be the focal point of her stage 2 work.</w:t>
      </w:r>
    </w:p>
    <w:p w14:paraId="3015AA70" w14:textId="77777777" w:rsidR="008C52E2" w:rsidRDefault="008C52E2" w:rsidP="008C52E2"/>
    <w:p w14:paraId="4A3861E7" w14:textId="77777777" w:rsidR="008C52E2" w:rsidRDefault="008C52E2" w:rsidP="002A41C3">
      <w:pPr>
        <w:ind w:firstLine="720"/>
      </w:pPr>
      <w:r>
        <w:t>However, for those couples who wish to remain in relationship and experience relational healing, stage 2 and 3 work will more likely need to be engaged (APSATS, 2012).  It’s important to help the PSA understand, however, that the healing process is not linear, and she may move around the various stages at different times (APSATS, 2012).</w:t>
      </w:r>
    </w:p>
    <w:p w14:paraId="7010C53D" w14:textId="77777777" w:rsidR="005E1902" w:rsidRDefault="005E1902">
      <w:pPr>
        <w:spacing w:line="240" w:lineRule="auto"/>
      </w:pPr>
      <w:r>
        <w:br w:type="page"/>
      </w:r>
    </w:p>
    <w:p w14:paraId="4E6BABB2" w14:textId="77777777" w:rsidR="005E1902" w:rsidRDefault="005E1902" w:rsidP="005E1902">
      <w:r w:rsidRPr="005E1902">
        <w:rPr>
          <w:noProof/>
          <w:lang w:eastAsia="en-GB"/>
        </w:rPr>
        <w:lastRenderedPageBreak/>
        <w:drawing>
          <wp:anchor distT="0" distB="0" distL="114300" distR="114300" simplePos="0" relativeHeight="251665408" behindDoc="0" locked="0" layoutInCell="1" allowOverlap="1" wp14:anchorId="612B8255" wp14:editId="5D33CFAB">
            <wp:simplePos x="0" y="0"/>
            <wp:positionH relativeFrom="column">
              <wp:posOffset>-388625</wp:posOffset>
            </wp:positionH>
            <wp:positionV relativeFrom="paragraph">
              <wp:posOffset>343</wp:posOffset>
            </wp:positionV>
            <wp:extent cx="6431280" cy="48234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31280" cy="4823460"/>
                    </a:xfrm>
                    <a:prstGeom prst="rect">
                      <a:avLst/>
                    </a:prstGeom>
                  </pic:spPr>
                </pic:pic>
              </a:graphicData>
            </a:graphic>
            <wp14:sizeRelH relativeFrom="page">
              <wp14:pctWidth>0</wp14:pctWidth>
            </wp14:sizeRelH>
            <wp14:sizeRelV relativeFrom="page">
              <wp14:pctHeight>0</wp14:pctHeight>
            </wp14:sizeRelV>
          </wp:anchor>
        </w:drawing>
      </w:r>
    </w:p>
    <w:p w14:paraId="13A6B34B" w14:textId="77777777" w:rsidR="00620CD6" w:rsidRDefault="00620CD6" w:rsidP="005E1902"/>
    <w:p w14:paraId="7D38FFBC" w14:textId="77777777" w:rsidR="005E1902" w:rsidRDefault="00E8514C" w:rsidP="002A41C3">
      <w:pPr>
        <w:ind w:firstLine="720"/>
      </w:pPr>
      <w:r>
        <w:t>Ther</w:t>
      </w:r>
      <w:r w:rsidR="005E1902">
        <w:t xml:space="preserve">e are </w:t>
      </w:r>
      <w:r>
        <w:t>several</w:t>
      </w:r>
      <w:r w:rsidR="005E1902">
        <w:t xml:space="preserve"> mistakes</w:t>
      </w:r>
      <w:r>
        <w:t xml:space="preserve"> commonly</w:t>
      </w:r>
      <w:r w:rsidR="005E1902">
        <w:t xml:space="preserve"> made by counsellors working with PSAs (APSATS, 2012). One is assuming Stage 1 can be traversed relatively quickly. This is rarely the case. Especially for those whose partners continue in their addiction, stage 1 may be her predominant stage for </w:t>
      </w:r>
      <w:r w:rsidR="00177078">
        <w:t>a long time</w:t>
      </w:r>
      <w:r w:rsidR="005E1902">
        <w:t>, though with new skills such as boundaries, the PSA usually begins to gain ground in her own healing (APSATS, 2012).</w:t>
      </w:r>
    </w:p>
    <w:p w14:paraId="0EB7D80B" w14:textId="77777777" w:rsidR="005E1902" w:rsidRDefault="005E1902" w:rsidP="005E1902"/>
    <w:p w14:paraId="3DE7E481" w14:textId="77777777" w:rsidR="005E1902" w:rsidRDefault="005E1902" w:rsidP="002A41C3">
      <w:pPr>
        <w:ind w:firstLine="720"/>
      </w:pPr>
      <w:r>
        <w:t>Moreover, in the past, many PSAs have been further traumatised by having their reactions misdiagnosed or misunderstood (APSATS, 2012). Misdiagnosis has included seeing her symptoms as indicative of depression, anxiety issues</w:t>
      </w:r>
      <w:r w:rsidR="00D66C29">
        <w:t>,</w:t>
      </w:r>
      <w:r>
        <w:t xml:space="preserve"> or an axis II mental illness, such as borderline personality disorder (APSATS, 2012). Additionally, therapists have at times colluded with the SA in pathologising the PSA, or blaming her for his recovery issues (APSATS, 2012).</w:t>
      </w:r>
    </w:p>
    <w:p w14:paraId="0435FFC9" w14:textId="77777777" w:rsidR="005E1902" w:rsidRDefault="005E1902" w:rsidP="005E1902"/>
    <w:p w14:paraId="26A26A1C" w14:textId="77777777" w:rsidR="005E1902" w:rsidRDefault="005E1902" w:rsidP="002A41C3">
      <w:pPr>
        <w:ind w:firstLine="720"/>
      </w:pPr>
      <w:r>
        <w:lastRenderedPageBreak/>
        <w:t>Colluding is especially dangerous with the abusive SA. It is important that PSAs be assessed, either formally or informally, for the presence of all forms of intimate partner violence (APSATS, 2012). They should also be invited to discuss family violence and any concerns they may have about the impacts of the sexual addiction on their children (APSATS, 2012).</w:t>
      </w:r>
    </w:p>
    <w:p w14:paraId="3FCD6E77" w14:textId="77777777" w:rsidR="005E1902" w:rsidRDefault="005E1902" w:rsidP="005E1902"/>
    <w:p w14:paraId="4713B135" w14:textId="77777777" w:rsidR="005E1902" w:rsidRDefault="005E1902" w:rsidP="002A41C3">
      <w:pPr>
        <w:ind w:firstLine="720"/>
      </w:pPr>
      <w:r>
        <w:t>Finally, it is important that those working with the PSA have a worki</w:t>
      </w:r>
      <w:r w:rsidR="00E8514C">
        <w:t>ng knowledge of “sex addiction”—</w:t>
      </w:r>
      <w:r>
        <w:t>either from the International Institute of Trauma and Addiction Professionals (IITAP) point of view, or any other therapeutic framework. This will help prevent the perpetuation of sex addiction myths that might endanger the PSA</w:t>
      </w:r>
      <w:r w:rsidR="00501ECB">
        <w:t>’s healing</w:t>
      </w:r>
      <w:r>
        <w:t xml:space="preserve"> and negatively impact the </w:t>
      </w:r>
      <w:r w:rsidRPr="00D66C29">
        <w:t>SA’s recovery.</w:t>
      </w:r>
    </w:p>
    <w:p w14:paraId="59822042" w14:textId="77777777" w:rsidR="00D66C29" w:rsidRPr="00D66C29" w:rsidRDefault="00D66C29" w:rsidP="00D66C29"/>
    <w:p w14:paraId="701C744B" w14:textId="77777777" w:rsidR="005E1902" w:rsidRPr="00D66C29" w:rsidRDefault="005E1902" w:rsidP="00D66C29">
      <w:pPr>
        <w:pStyle w:val="Heading2"/>
        <w:rPr>
          <w:lang w:val="en-GB"/>
        </w:rPr>
      </w:pPr>
      <w:r w:rsidRPr="00D66C29">
        <w:rPr>
          <w:lang w:val="en-GB"/>
        </w:rPr>
        <w:t>In conclusion</w:t>
      </w:r>
    </w:p>
    <w:p w14:paraId="0EA645CE" w14:textId="77777777" w:rsidR="005E1902" w:rsidRDefault="005E1902" w:rsidP="002A41C3">
      <w:pPr>
        <w:ind w:firstLine="720"/>
      </w:pPr>
      <w:r>
        <w:t xml:space="preserve">Partner of Sex Addict trauma is experienced by thousands of women and men the world over: both as a “traumatic life event” at the point of discovery and as “betrayal trauma.” Those who seek professional help deserve to encounter compassion and an understanding of PSA trauma best practices. Thanks for your willingness to become more informed about this topic. For further </w:t>
      </w:r>
      <w:proofErr w:type="gramStart"/>
      <w:r>
        <w:t>information</w:t>
      </w:r>
      <w:proofErr w:type="gramEnd"/>
      <w:r>
        <w:t xml:space="preserve"> I refer you to the apsats.org website.</w:t>
      </w:r>
    </w:p>
    <w:p w14:paraId="7D1BA286" w14:textId="77777777" w:rsidR="006B7CDB" w:rsidRDefault="006B7CDB" w:rsidP="002A41C3">
      <w:pPr>
        <w:ind w:firstLine="720"/>
      </w:pPr>
    </w:p>
    <w:p w14:paraId="2836E2E5" w14:textId="7C010796" w:rsidR="006B7CDB" w:rsidRDefault="006B7CDB" w:rsidP="002A41C3">
      <w:pPr>
        <w:ind w:firstLine="720"/>
      </w:pPr>
      <w:r>
        <w:t xml:space="preserve">The way out is through… what we learn from the previous crisis and surviving it… apply it. </w:t>
      </w:r>
      <w:bookmarkStart w:id="0" w:name="_GoBack"/>
      <w:bookmarkEnd w:id="0"/>
    </w:p>
    <w:p w14:paraId="1BD09A53" w14:textId="77777777" w:rsidR="005E1902" w:rsidRDefault="005E1902">
      <w:pPr>
        <w:spacing w:line="240" w:lineRule="auto"/>
      </w:pPr>
      <w:r>
        <w:br w:type="page"/>
      </w:r>
    </w:p>
    <w:p w14:paraId="2CBD1541" w14:textId="1DA300D3" w:rsidR="002778E2" w:rsidRDefault="00546B55" w:rsidP="005E1902">
      <w:r w:rsidRPr="00546B55">
        <w:rPr>
          <w:noProof/>
          <w:lang w:eastAsia="en-GB"/>
        </w:rPr>
        <w:lastRenderedPageBreak/>
        <w:drawing>
          <wp:inline distT="0" distB="0" distL="0" distR="0" wp14:anchorId="116372F3" wp14:editId="0C461E43">
            <wp:extent cx="5727700" cy="4295775"/>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295775"/>
                    </a:xfrm>
                    <a:prstGeom prst="rect">
                      <a:avLst/>
                    </a:prstGeom>
                  </pic:spPr>
                </pic:pic>
              </a:graphicData>
            </a:graphic>
          </wp:inline>
        </w:drawing>
      </w:r>
    </w:p>
    <w:p w14:paraId="6134B49D" w14:textId="77777777" w:rsidR="00176F52" w:rsidRDefault="00176F52" w:rsidP="005E1902"/>
    <w:p w14:paraId="6CE533CE" w14:textId="195A2A23" w:rsidR="00620CD6" w:rsidRPr="0063472F" w:rsidRDefault="0053642E" w:rsidP="005E1902">
      <w:r w:rsidRPr="0053642E">
        <w:rPr>
          <w:noProof/>
          <w:lang w:eastAsia="en-GB"/>
        </w:rPr>
        <w:lastRenderedPageBreak/>
        <w:drawing>
          <wp:inline distT="0" distB="0" distL="0" distR="0" wp14:anchorId="330F2E7F" wp14:editId="75383182">
            <wp:extent cx="5727700" cy="4295775"/>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295775"/>
                    </a:xfrm>
                    <a:prstGeom prst="rect">
                      <a:avLst/>
                    </a:prstGeom>
                  </pic:spPr>
                </pic:pic>
              </a:graphicData>
            </a:graphic>
          </wp:inline>
        </w:drawing>
      </w:r>
    </w:p>
    <w:sectPr w:rsidR="00620CD6" w:rsidRPr="0063472F" w:rsidSect="0063472F">
      <w:footerReference w:type="default" r:id="rId17"/>
      <w:pgSz w:w="11900" w:h="16840"/>
      <w:pgMar w:top="1440" w:right="1440" w:bottom="1440" w:left="1440" w:header="709" w:footer="709" w:gutter="0"/>
      <w:cols w:space="708"/>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D362F" w14:textId="77777777" w:rsidR="003E1117" w:rsidRDefault="003E1117" w:rsidP="00B17A0C">
      <w:pPr>
        <w:spacing w:line="240" w:lineRule="auto"/>
      </w:pPr>
      <w:r>
        <w:separator/>
      </w:r>
    </w:p>
  </w:endnote>
  <w:endnote w:type="continuationSeparator" w:id="0">
    <w:p w14:paraId="28962C33" w14:textId="77777777" w:rsidR="003E1117" w:rsidRDefault="003E1117" w:rsidP="00B17A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Myriad Pro Semibold">
    <w:panose1 w:val="020B0603030403020204"/>
    <w:charset w:val="00"/>
    <w:family w:val="auto"/>
    <w:pitch w:val="variable"/>
    <w:sig w:usb0="20000287" w:usb1="00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52D84" w14:textId="6FFE9B8A" w:rsidR="00B17A0C" w:rsidRDefault="007A0AD4" w:rsidP="00B17A0C">
    <w:pPr>
      <w:pStyle w:val="Footer"/>
      <w:jc w:val="right"/>
    </w:pPr>
    <w:r w:rsidRPr="007A0AD4">
      <w:rPr>
        <w:rFonts w:ascii="Times New Roman" w:hAnsi="Times New Roman" w:cs="Times New Roman"/>
      </w:rPr>
      <w:tab/>
      <w:t xml:space="preserve">- </w:t>
    </w:r>
    <w:r w:rsidRPr="007A0AD4">
      <w:rPr>
        <w:rFonts w:ascii="Times New Roman" w:hAnsi="Times New Roman" w:cs="Times New Roman"/>
      </w:rPr>
      <w:fldChar w:fldCharType="begin"/>
    </w:r>
    <w:r w:rsidRPr="007A0AD4">
      <w:rPr>
        <w:rFonts w:ascii="Times New Roman" w:hAnsi="Times New Roman" w:cs="Times New Roman"/>
      </w:rPr>
      <w:instrText xml:space="preserve"> PAGE </w:instrText>
    </w:r>
    <w:r w:rsidRPr="007A0AD4">
      <w:rPr>
        <w:rFonts w:ascii="Times New Roman" w:hAnsi="Times New Roman" w:cs="Times New Roman"/>
      </w:rPr>
      <w:fldChar w:fldCharType="separate"/>
    </w:r>
    <w:r w:rsidR="00893526">
      <w:rPr>
        <w:rFonts w:ascii="Times New Roman" w:hAnsi="Times New Roman" w:cs="Times New Roman"/>
        <w:noProof/>
      </w:rPr>
      <w:t>12</w:t>
    </w:r>
    <w:r w:rsidRPr="007A0AD4">
      <w:rPr>
        <w:rFonts w:ascii="Times New Roman" w:hAnsi="Times New Roman" w:cs="Times New Roman"/>
      </w:rPr>
      <w:fldChar w:fldCharType="end"/>
    </w:r>
    <w:r w:rsidRPr="007A0AD4">
      <w:rPr>
        <w:rFonts w:ascii="Times New Roman" w:hAnsi="Times New Roman" w:cs="Times New Roman"/>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3E914" w14:textId="77777777" w:rsidR="003E1117" w:rsidRDefault="003E1117" w:rsidP="00B17A0C">
      <w:pPr>
        <w:spacing w:line="240" w:lineRule="auto"/>
      </w:pPr>
      <w:r>
        <w:separator/>
      </w:r>
    </w:p>
  </w:footnote>
  <w:footnote w:type="continuationSeparator" w:id="0">
    <w:p w14:paraId="25EF3182" w14:textId="77777777" w:rsidR="003E1117" w:rsidRDefault="003E1117" w:rsidP="00B17A0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8CAE3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2F"/>
    <w:rsid w:val="000A05A9"/>
    <w:rsid w:val="000C7629"/>
    <w:rsid w:val="00176F52"/>
    <w:rsid w:val="00177078"/>
    <w:rsid w:val="001B5DE8"/>
    <w:rsid w:val="002045AD"/>
    <w:rsid w:val="00211282"/>
    <w:rsid w:val="002170D9"/>
    <w:rsid w:val="00227E5E"/>
    <w:rsid w:val="00266DED"/>
    <w:rsid w:val="002A41C3"/>
    <w:rsid w:val="002B45DE"/>
    <w:rsid w:val="003331FC"/>
    <w:rsid w:val="00352CCA"/>
    <w:rsid w:val="003A6107"/>
    <w:rsid w:val="003C62DA"/>
    <w:rsid w:val="003E1117"/>
    <w:rsid w:val="003F3F48"/>
    <w:rsid w:val="004543F0"/>
    <w:rsid w:val="0048324B"/>
    <w:rsid w:val="00501ECB"/>
    <w:rsid w:val="00520583"/>
    <w:rsid w:val="0053642E"/>
    <w:rsid w:val="00537648"/>
    <w:rsid w:val="00546B55"/>
    <w:rsid w:val="005A6ED1"/>
    <w:rsid w:val="005E1902"/>
    <w:rsid w:val="005F2D12"/>
    <w:rsid w:val="00620CD6"/>
    <w:rsid w:val="0063472F"/>
    <w:rsid w:val="006616D3"/>
    <w:rsid w:val="006B7CDB"/>
    <w:rsid w:val="006E132F"/>
    <w:rsid w:val="006E219C"/>
    <w:rsid w:val="007479C9"/>
    <w:rsid w:val="007721DB"/>
    <w:rsid w:val="00775BA4"/>
    <w:rsid w:val="007805B1"/>
    <w:rsid w:val="007952EA"/>
    <w:rsid w:val="007A0AD4"/>
    <w:rsid w:val="007C7406"/>
    <w:rsid w:val="0082097F"/>
    <w:rsid w:val="00842CA8"/>
    <w:rsid w:val="008540AB"/>
    <w:rsid w:val="00871FCF"/>
    <w:rsid w:val="00893526"/>
    <w:rsid w:val="008C52E2"/>
    <w:rsid w:val="008E1507"/>
    <w:rsid w:val="008F25F6"/>
    <w:rsid w:val="00915E89"/>
    <w:rsid w:val="009D6A64"/>
    <w:rsid w:val="00A12696"/>
    <w:rsid w:val="00A44C64"/>
    <w:rsid w:val="00A72636"/>
    <w:rsid w:val="00AB3A1A"/>
    <w:rsid w:val="00AF5269"/>
    <w:rsid w:val="00B12D42"/>
    <w:rsid w:val="00B17A0C"/>
    <w:rsid w:val="00B9585D"/>
    <w:rsid w:val="00C027F2"/>
    <w:rsid w:val="00C95014"/>
    <w:rsid w:val="00CF0009"/>
    <w:rsid w:val="00CF5D05"/>
    <w:rsid w:val="00D27AF6"/>
    <w:rsid w:val="00D6358E"/>
    <w:rsid w:val="00D66C29"/>
    <w:rsid w:val="00E8514C"/>
    <w:rsid w:val="00EB24BB"/>
    <w:rsid w:val="00EF6179"/>
    <w:rsid w:val="00FB62BD"/>
    <w:rsid w:val="00FC7A06"/>
    <w:rsid w:val="00FD555F"/>
  </w:rsids>
  <m:mathPr>
    <m:mathFont m:val="Cambria Math"/>
    <m:brkBin m:val="before"/>
    <m:brkBinSub m:val="--"/>
    <m:smallFrac m:val="0"/>
    <m:dispDef/>
    <m:lMargin m:val="0"/>
    <m:rMargin m:val="0"/>
    <m:defJc m:val="centerGroup"/>
    <m:wrapIndent m:val="1440"/>
    <m:intLim m:val="subSup"/>
    <m:naryLim m:val="undOvr"/>
  </m:mathPr>
  <w:themeFontLang w:val="en-GB"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C3393"/>
  <w14:defaultImageDpi w14:val="32767"/>
  <w15:chartTrackingRefBased/>
  <w15:docId w15:val="{2671041F-841A-5942-A611-2B4F7B8E5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472F"/>
    <w:pPr>
      <w:spacing w:line="360" w:lineRule="auto"/>
    </w:pPr>
    <w:rPr>
      <w:rFonts w:ascii="Times" w:hAnsi="Times"/>
    </w:rPr>
  </w:style>
  <w:style w:type="paragraph" w:styleId="Heading1">
    <w:name w:val="heading 1"/>
    <w:basedOn w:val="Normal"/>
    <w:next w:val="Normal"/>
    <w:link w:val="Heading1Char"/>
    <w:uiPriority w:val="9"/>
    <w:qFormat/>
    <w:rsid w:val="005E19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3"/>
    <w:unhideWhenUsed/>
    <w:qFormat/>
    <w:rsid w:val="00D66C29"/>
    <w:pPr>
      <w:keepNext/>
      <w:keepLines/>
      <w:spacing w:line="480" w:lineRule="auto"/>
      <w:outlineLvl w:val="1"/>
    </w:pPr>
    <w:rPr>
      <w:rFonts w:ascii="Myriad Pro Semibold" w:eastAsiaTheme="majorEastAsia" w:hAnsi="Myriad Pro Semibold" w:cstheme="majorBidi"/>
      <w:b/>
      <w:bCs/>
      <w:color w:val="000000" w:themeColor="text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9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3"/>
    <w:rsid w:val="00D66C29"/>
    <w:rPr>
      <w:rFonts w:ascii="Myriad Pro Semibold" w:eastAsiaTheme="majorEastAsia" w:hAnsi="Myriad Pro Semibold" w:cstheme="majorBidi"/>
      <w:b/>
      <w:bCs/>
      <w:color w:val="000000" w:themeColor="text1"/>
      <w:lang w:val="en-US" w:eastAsia="ja-JP"/>
    </w:rPr>
  </w:style>
  <w:style w:type="paragraph" w:styleId="Header">
    <w:name w:val="header"/>
    <w:basedOn w:val="Normal"/>
    <w:link w:val="HeaderChar"/>
    <w:uiPriority w:val="99"/>
    <w:unhideWhenUsed/>
    <w:rsid w:val="00B17A0C"/>
    <w:pPr>
      <w:tabs>
        <w:tab w:val="center" w:pos="4513"/>
        <w:tab w:val="right" w:pos="9026"/>
      </w:tabs>
      <w:spacing w:line="240" w:lineRule="auto"/>
    </w:pPr>
  </w:style>
  <w:style w:type="character" w:customStyle="1" w:styleId="HeaderChar">
    <w:name w:val="Header Char"/>
    <w:basedOn w:val="DefaultParagraphFont"/>
    <w:link w:val="Header"/>
    <w:uiPriority w:val="99"/>
    <w:rsid w:val="00B17A0C"/>
    <w:rPr>
      <w:rFonts w:ascii="Times" w:hAnsi="Times"/>
    </w:rPr>
  </w:style>
  <w:style w:type="paragraph" w:styleId="Footer">
    <w:name w:val="footer"/>
    <w:basedOn w:val="Normal"/>
    <w:link w:val="FooterChar"/>
    <w:uiPriority w:val="99"/>
    <w:unhideWhenUsed/>
    <w:rsid w:val="00B17A0C"/>
    <w:pPr>
      <w:tabs>
        <w:tab w:val="center" w:pos="4513"/>
        <w:tab w:val="right" w:pos="9026"/>
      </w:tabs>
      <w:spacing w:line="240" w:lineRule="auto"/>
    </w:pPr>
  </w:style>
  <w:style w:type="character" w:customStyle="1" w:styleId="FooterChar">
    <w:name w:val="Footer Char"/>
    <w:basedOn w:val="DefaultParagraphFont"/>
    <w:link w:val="Footer"/>
    <w:uiPriority w:val="99"/>
    <w:rsid w:val="00B17A0C"/>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15</Pages>
  <Words>1708</Words>
  <Characters>9741</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Taylor</dc:creator>
  <cp:keywords/>
  <dc:description/>
  <cp:lastModifiedBy>Michael Taylor</cp:lastModifiedBy>
  <cp:revision>15</cp:revision>
  <cp:lastPrinted>2018-09-13T22:21:00Z</cp:lastPrinted>
  <dcterms:created xsi:type="dcterms:W3CDTF">2018-09-04T07:08:00Z</dcterms:created>
  <dcterms:modified xsi:type="dcterms:W3CDTF">2018-09-24T08:52:00Z</dcterms:modified>
</cp:coreProperties>
</file>